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1CF2" w14:textId="473F2C62" w:rsidR="0011742A" w:rsidRPr="0011742A" w:rsidRDefault="0011742A" w:rsidP="00CD6B5A">
      <w:pPr>
        <w:jc w:val="center"/>
        <w:rPr>
          <w:b/>
          <w:bCs/>
          <w:sz w:val="36"/>
          <w:szCs w:val="36"/>
        </w:rPr>
      </w:pPr>
      <w:r w:rsidRPr="0011742A">
        <w:rPr>
          <w:b/>
          <w:bCs/>
          <w:sz w:val="36"/>
          <w:szCs w:val="36"/>
        </w:rPr>
        <w:t>Du Pré au panier AMAP de BENET</w:t>
      </w:r>
    </w:p>
    <w:p w14:paraId="74DD3481" w14:textId="16CD5D2D" w:rsidR="0011742A" w:rsidRDefault="0011742A" w:rsidP="00CD6B5A">
      <w:pPr>
        <w:jc w:val="center"/>
      </w:pPr>
      <w:r>
        <w:t>Produits issus de l'agriculture biologique</w:t>
      </w:r>
    </w:p>
    <w:p w14:paraId="4D4A693E" w14:textId="758DDDD7" w:rsidR="0011742A" w:rsidRPr="0011742A" w:rsidRDefault="0011742A" w:rsidP="0011742A">
      <w:pPr>
        <w:jc w:val="center"/>
        <w:rPr>
          <w:b/>
          <w:bCs/>
          <w:sz w:val="40"/>
          <w:szCs w:val="40"/>
        </w:rPr>
      </w:pPr>
      <w:r w:rsidRPr="0011742A">
        <w:rPr>
          <w:b/>
          <w:bCs/>
          <w:sz w:val="40"/>
          <w:szCs w:val="40"/>
        </w:rPr>
        <w:t>Contrat de partenariat : Champisèvres</w:t>
      </w:r>
    </w:p>
    <w:p w14:paraId="2B4D43B7" w14:textId="4BF3115F" w:rsidR="0011742A" w:rsidRPr="0011742A" w:rsidRDefault="0011742A" w:rsidP="00CD6B5A">
      <w:pPr>
        <w:jc w:val="center"/>
        <w:rPr>
          <w:b/>
          <w:bCs/>
          <w:sz w:val="40"/>
          <w:szCs w:val="40"/>
        </w:rPr>
      </w:pPr>
      <w:r w:rsidRPr="0011742A">
        <w:rPr>
          <w:b/>
          <w:bCs/>
          <w:sz w:val="40"/>
          <w:szCs w:val="40"/>
        </w:rPr>
        <w:t>Champignons</w:t>
      </w:r>
    </w:p>
    <w:p w14:paraId="77853838" w14:textId="6112014E" w:rsidR="0011742A" w:rsidRPr="00CD6B5A" w:rsidRDefault="0011742A" w:rsidP="0011742A">
      <w:pPr>
        <w:rPr>
          <w:b/>
          <w:bCs/>
        </w:rPr>
      </w:pPr>
      <w:r w:rsidRPr="00CD6B5A">
        <w:rPr>
          <w:b/>
          <w:bCs/>
        </w:rPr>
        <w:t xml:space="preserve">Le </w:t>
      </w:r>
      <w:r w:rsidR="0091167E" w:rsidRPr="00CD6B5A">
        <w:rPr>
          <w:b/>
          <w:bCs/>
        </w:rPr>
        <w:t>présent</w:t>
      </w:r>
      <w:r w:rsidRPr="00CD6B5A">
        <w:rPr>
          <w:b/>
          <w:bCs/>
        </w:rPr>
        <w:t xml:space="preserve"> contrat est passé entre :</w:t>
      </w:r>
    </w:p>
    <w:p w14:paraId="4CCAB86D" w14:textId="5A88B9B3" w:rsidR="0011742A" w:rsidRDefault="0011742A" w:rsidP="0011742A">
      <w:r>
        <w:t>Le Producteur :</w:t>
      </w:r>
      <w:r>
        <w:tab/>
      </w:r>
      <w:r>
        <w:tab/>
      </w:r>
      <w:r>
        <w:tab/>
      </w:r>
      <w:r>
        <w:tab/>
      </w:r>
      <w:r>
        <w:tab/>
        <w:t>l’amapien du Pré au Panier</w:t>
      </w:r>
    </w:p>
    <w:p w14:paraId="7B6F0F2E" w14:textId="335E0D07" w:rsidR="0011742A" w:rsidRDefault="009F6ACF" w:rsidP="0011742A">
      <w:r>
        <w:t xml:space="preserve">Réva Tupana, </w:t>
      </w:r>
      <w:r w:rsidRPr="009F6ACF">
        <w:t>EI Champisèvre</w:t>
      </w:r>
      <w:r w:rsidR="00FD25B1">
        <w:t>s</w:t>
      </w:r>
      <w:r w:rsidR="0011742A" w:rsidRPr="009F6ACF">
        <w:tab/>
      </w:r>
      <w:r w:rsidR="0011742A">
        <w:tab/>
      </w:r>
      <w:r>
        <w:tab/>
      </w:r>
      <w:r w:rsidR="0011742A">
        <w:t>NOM</w:t>
      </w:r>
    </w:p>
    <w:p w14:paraId="6FD3ABAC" w14:textId="598FED0D" w:rsidR="009F6ACF" w:rsidRDefault="009F6ACF" w:rsidP="0011742A">
      <w:r w:rsidRPr="009F6ACF">
        <w:t>14 Rte de Saint</w:t>
      </w:r>
      <w:r w:rsidR="0091167E">
        <w:t>-</w:t>
      </w:r>
      <w:r w:rsidRPr="009F6ACF">
        <w:t>Maxire</w:t>
      </w:r>
      <w:r>
        <w:tab/>
      </w:r>
      <w:r>
        <w:tab/>
      </w:r>
      <w:r>
        <w:tab/>
      </w:r>
      <w:r>
        <w:tab/>
        <w:t xml:space="preserve">Prénom : </w:t>
      </w:r>
    </w:p>
    <w:p w14:paraId="1A709065" w14:textId="537E7466" w:rsidR="0011742A" w:rsidRPr="009F6ACF" w:rsidRDefault="009F6ACF" w:rsidP="0011742A">
      <w:r w:rsidRPr="009F6ACF">
        <w:rPr>
          <w:rFonts w:ascii="Segoe UI" w:hAnsi="Segoe UI" w:cs="Segoe UI"/>
          <w:color w:val="000000"/>
        </w:rPr>
        <w:t>79160 Villiers en Plaines</w:t>
      </w:r>
      <w:r w:rsidR="0011742A" w:rsidRPr="009F6ACF">
        <w:tab/>
      </w:r>
      <w:r w:rsidR="0011742A" w:rsidRPr="009F6ACF">
        <w:tab/>
      </w:r>
      <w:r w:rsidR="0011742A" w:rsidRPr="009F6ACF">
        <w:tab/>
      </w:r>
      <w:r w:rsidR="0011742A" w:rsidRPr="009F6ACF">
        <w:tab/>
      </w:r>
      <w:r>
        <w:t xml:space="preserve">Adresse : </w:t>
      </w:r>
    </w:p>
    <w:p w14:paraId="6EA64BB3" w14:textId="2A5A85C0" w:rsidR="0011742A" w:rsidRDefault="0011742A" w:rsidP="0011742A">
      <w:r w:rsidRPr="009F6ACF">
        <w:t xml:space="preserve">Tél. : </w:t>
      </w:r>
      <w:r w:rsidR="009F6ACF" w:rsidRPr="009F6ACF">
        <w:rPr>
          <w:rFonts w:ascii="Calibri" w:hAnsi="Calibri" w:cs="Calibri"/>
          <w:color w:val="000000"/>
          <w:sz w:val="20"/>
          <w:szCs w:val="20"/>
        </w:rPr>
        <w:t>07 86 86 37 54</w:t>
      </w:r>
      <w:r>
        <w:tab/>
      </w:r>
      <w:r>
        <w:tab/>
      </w:r>
      <w:r>
        <w:tab/>
      </w:r>
      <w:r w:rsidR="009F6ACF">
        <w:tab/>
      </w:r>
      <w:r w:rsidR="009F6ACF">
        <w:tab/>
        <w:t xml:space="preserve">Tél : </w:t>
      </w:r>
    </w:p>
    <w:p w14:paraId="7C0AC239" w14:textId="2A71C2C3" w:rsidR="0011742A" w:rsidRDefault="0011742A" w:rsidP="0011742A">
      <w:r>
        <w:t xml:space="preserve">E-mail : </w:t>
      </w:r>
      <w:r w:rsidR="009F6ACF" w:rsidRPr="009F6ACF">
        <w:t>champisevres.prod@outlook.fr</w:t>
      </w:r>
      <w:r>
        <w:tab/>
      </w:r>
      <w:r>
        <w:tab/>
        <w:t xml:space="preserve">Email : </w:t>
      </w:r>
    </w:p>
    <w:p w14:paraId="48659211" w14:textId="62FC660C" w:rsidR="0011742A" w:rsidRDefault="0011742A" w:rsidP="0011742A"/>
    <w:p w14:paraId="3A249BD3" w14:textId="32958B3F" w:rsidR="0011742A" w:rsidRDefault="00615233" w:rsidP="0011742A">
      <w:r>
        <w:t>Référente</w:t>
      </w:r>
      <w:r w:rsidR="0011742A">
        <w:t xml:space="preserve"> : Sophie GAREL (sophie.garel@me.com)</w:t>
      </w:r>
    </w:p>
    <w:p w14:paraId="598ED1FE" w14:textId="77777777" w:rsidR="0011742A" w:rsidRDefault="0011742A" w:rsidP="0011742A"/>
    <w:p w14:paraId="7BA1636C" w14:textId="6E186D43" w:rsidR="0011742A" w:rsidRPr="0091167E" w:rsidRDefault="0011742A" w:rsidP="0011742A">
      <w:pPr>
        <w:rPr>
          <w:b/>
          <w:bCs/>
        </w:rPr>
      </w:pPr>
      <w:r w:rsidRPr="0091167E">
        <w:rPr>
          <w:b/>
          <w:bCs/>
        </w:rPr>
        <w:t>L’AMAPIEN S’ENGAGE :</w:t>
      </w:r>
    </w:p>
    <w:p w14:paraId="68B4BB9F" w14:textId="6BB68553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>• A respecter la charte d'engagement de l'AMAP.</w:t>
      </w:r>
    </w:p>
    <w:p w14:paraId="571AD936" w14:textId="6BC6DBD3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 xml:space="preserve">• A acheter sa part de la production à l'avance en reconnaissant les </w:t>
      </w:r>
      <w:r w:rsidR="00615233" w:rsidRPr="0011742A">
        <w:rPr>
          <w:sz w:val="22"/>
          <w:szCs w:val="22"/>
        </w:rPr>
        <w:t>aléas</w:t>
      </w:r>
      <w:r w:rsidRPr="0011742A">
        <w:rPr>
          <w:sz w:val="22"/>
          <w:szCs w:val="22"/>
        </w:rPr>
        <w:t xml:space="preserve"> de productions, climatiques, problèmes sanitaires, comme faisant partie de l'agriculture. Accepte d'assumer une </w:t>
      </w:r>
      <w:r w:rsidR="00615233" w:rsidRPr="0011742A">
        <w:rPr>
          <w:sz w:val="22"/>
          <w:szCs w:val="22"/>
        </w:rPr>
        <w:t>solidarité</w:t>
      </w:r>
      <w:r w:rsidRPr="0011742A">
        <w:rPr>
          <w:sz w:val="22"/>
          <w:szCs w:val="22"/>
        </w:rPr>
        <w:t xml:space="preserve">́ vis-à-vis des producteurs, pouvant </w:t>
      </w:r>
      <w:r w:rsidR="00615233" w:rsidRPr="0011742A">
        <w:rPr>
          <w:sz w:val="22"/>
          <w:szCs w:val="22"/>
        </w:rPr>
        <w:t>décaler</w:t>
      </w:r>
      <w:r w:rsidRPr="0011742A">
        <w:rPr>
          <w:sz w:val="22"/>
          <w:szCs w:val="22"/>
        </w:rPr>
        <w:t xml:space="preserve"> une</w:t>
      </w:r>
      <w:r w:rsidR="009F6ACF">
        <w:rPr>
          <w:sz w:val="22"/>
          <w:szCs w:val="22"/>
        </w:rPr>
        <w:t xml:space="preserve"> </w:t>
      </w:r>
      <w:r w:rsidRPr="0011742A">
        <w:rPr>
          <w:sz w:val="22"/>
          <w:szCs w:val="22"/>
        </w:rPr>
        <w:t>distribution mais n'</w:t>
      </w:r>
      <w:r w:rsidR="00615233" w:rsidRPr="0011742A">
        <w:rPr>
          <w:sz w:val="22"/>
          <w:szCs w:val="22"/>
        </w:rPr>
        <w:t>entraine</w:t>
      </w:r>
      <w:r w:rsidRPr="0011742A">
        <w:rPr>
          <w:sz w:val="22"/>
          <w:szCs w:val="22"/>
        </w:rPr>
        <w:t xml:space="preserve"> aucune incidence sur le volume annuel remis.</w:t>
      </w:r>
    </w:p>
    <w:p w14:paraId="169E1DA2" w14:textId="15831387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 xml:space="preserve">• A venir chercher sa commande aux dates et horaires convenus et au lieu </w:t>
      </w:r>
      <w:r w:rsidR="00615233" w:rsidRPr="0011742A">
        <w:rPr>
          <w:sz w:val="22"/>
          <w:szCs w:val="22"/>
        </w:rPr>
        <w:t>défini</w:t>
      </w:r>
      <w:r w:rsidRPr="0011742A">
        <w:rPr>
          <w:sz w:val="22"/>
          <w:szCs w:val="22"/>
        </w:rPr>
        <w:t xml:space="preserve">. En cas de non retrait, aucun remboursement ne sera </w:t>
      </w:r>
      <w:r w:rsidR="00615233" w:rsidRPr="0011742A">
        <w:rPr>
          <w:sz w:val="22"/>
          <w:szCs w:val="22"/>
        </w:rPr>
        <w:t>effectué</w:t>
      </w:r>
      <w:r w:rsidRPr="0011742A">
        <w:rPr>
          <w:sz w:val="22"/>
          <w:szCs w:val="22"/>
        </w:rPr>
        <w:t>́ et les commandes non récupérées seront reprises par le producteur.</w:t>
      </w:r>
    </w:p>
    <w:p w14:paraId="4AE37BD6" w14:textId="34CF1031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 xml:space="preserve">• A </w:t>
      </w:r>
      <w:r w:rsidR="00615233" w:rsidRPr="0011742A">
        <w:rPr>
          <w:sz w:val="22"/>
          <w:szCs w:val="22"/>
        </w:rPr>
        <w:t>être</w:t>
      </w:r>
      <w:r w:rsidRPr="0011742A">
        <w:rPr>
          <w:sz w:val="22"/>
          <w:szCs w:val="22"/>
        </w:rPr>
        <w:t xml:space="preserve"> à jour de son </w:t>
      </w:r>
      <w:r w:rsidR="00615233" w:rsidRPr="0011742A">
        <w:rPr>
          <w:sz w:val="22"/>
          <w:szCs w:val="22"/>
        </w:rPr>
        <w:t>adhésion</w:t>
      </w:r>
      <w:r w:rsidRPr="0011742A">
        <w:rPr>
          <w:sz w:val="22"/>
          <w:szCs w:val="22"/>
        </w:rPr>
        <w:t xml:space="preserve"> de 10€ à l’AMAP de Benet.</w:t>
      </w:r>
    </w:p>
    <w:p w14:paraId="269650C3" w14:textId="0A54F9A3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 xml:space="preserve">• A </w:t>
      </w:r>
      <w:r w:rsidR="00615233" w:rsidRPr="0011742A">
        <w:rPr>
          <w:sz w:val="22"/>
          <w:szCs w:val="22"/>
        </w:rPr>
        <w:t>prévenir</w:t>
      </w:r>
      <w:r w:rsidRPr="0011742A">
        <w:rPr>
          <w:sz w:val="22"/>
          <w:szCs w:val="22"/>
        </w:rPr>
        <w:t xml:space="preserve"> le Producteur en cas de changements : modification de commande (</w:t>
      </w:r>
      <w:r w:rsidR="00615233" w:rsidRPr="0011742A">
        <w:rPr>
          <w:sz w:val="22"/>
          <w:szCs w:val="22"/>
        </w:rPr>
        <w:t>quantité</w:t>
      </w:r>
      <w:r w:rsidRPr="0011742A">
        <w:rPr>
          <w:sz w:val="22"/>
          <w:szCs w:val="22"/>
        </w:rPr>
        <w:t xml:space="preserve">́), ou </w:t>
      </w:r>
      <w:r w:rsidR="00615233" w:rsidRPr="0011742A">
        <w:rPr>
          <w:sz w:val="22"/>
          <w:szCs w:val="22"/>
        </w:rPr>
        <w:t>réception</w:t>
      </w:r>
      <w:r w:rsidRPr="0011742A">
        <w:rPr>
          <w:sz w:val="22"/>
          <w:szCs w:val="22"/>
        </w:rPr>
        <w:t xml:space="preserve"> de commande par une autre personne (donner son nom).</w:t>
      </w:r>
    </w:p>
    <w:p w14:paraId="1D734E81" w14:textId="77777777" w:rsidR="0011742A" w:rsidRDefault="0011742A" w:rsidP="0011742A"/>
    <w:p w14:paraId="6FA517F6" w14:textId="355F209F" w:rsidR="0011742A" w:rsidRPr="0091167E" w:rsidRDefault="0011742A" w:rsidP="0011742A">
      <w:pPr>
        <w:rPr>
          <w:b/>
          <w:bCs/>
        </w:rPr>
      </w:pPr>
      <w:r w:rsidRPr="0091167E">
        <w:rPr>
          <w:b/>
          <w:bCs/>
        </w:rPr>
        <w:t>LE PRODUCTEUR S’ENGAGE :</w:t>
      </w:r>
    </w:p>
    <w:p w14:paraId="2B953161" w14:textId="77777777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>• A respecter la charte d'engagement de l'AMAP.</w:t>
      </w:r>
    </w:p>
    <w:p w14:paraId="15941734" w14:textId="33A213B2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>• A fournir des champignons issus de l'agriculture biologique et donc respectueux de</w:t>
      </w:r>
    </w:p>
    <w:p w14:paraId="5125C8BF" w14:textId="4D8A5A17" w:rsidR="0011742A" w:rsidRPr="0011742A" w:rsidRDefault="00615233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>L’environnement</w:t>
      </w:r>
      <w:r w:rsidR="0011742A" w:rsidRPr="0011742A">
        <w:rPr>
          <w:sz w:val="22"/>
          <w:szCs w:val="22"/>
        </w:rPr>
        <w:t xml:space="preserve"> et de les distribuer en respectant la règlementation sanitaire en vigueur jusqu'au lieu de distribution.</w:t>
      </w:r>
    </w:p>
    <w:p w14:paraId="31932C77" w14:textId="77777777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>• A apporter toutes transparences vis-à-vis du prix de vente du contrat ainsi que du mode de production.</w:t>
      </w:r>
    </w:p>
    <w:p w14:paraId="761DAC57" w14:textId="06A85DDC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 xml:space="preserve">• A accueillir les "Amapiens" sur le site s'ils le </w:t>
      </w:r>
      <w:r w:rsidR="00615233" w:rsidRPr="0011742A">
        <w:rPr>
          <w:sz w:val="22"/>
          <w:szCs w:val="22"/>
        </w:rPr>
        <w:t>désirent</w:t>
      </w:r>
      <w:r w:rsidRPr="0011742A">
        <w:rPr>
          <w:sz w:val="22"/>
          <w:szCs w:val="22"/>
        </w:rPr>
        <w:t>.</w:t>
      </w:r>
    </w:p>
    <w:p w14:paraId="64B78CE6" w14:textId="77777777" w:rsidR="0011742A" w:rsidRDefault="0011742A" w:rsidP="0011742A"/>
    <w:p w14:paraId="6B698103" w14:textId="77777777" w:rsidR="0011742A" w:rsidRPr="0091167E" w:rsidRDefault="0011742A" w:rsidP="0011742A">
      <w:pPr>
        <w:rPr>
          <w:b/>
          <w:bCs/>
        </w:rPr>
      </w:pPr>
      <w:r w:rsidRPr="0091167E">
        <w:rPr>
          <w:b/>
          <w:bCs/>
        </w:rPr>
        <w:t>MODALITÉS DE DISTRIBUTION ET DE PAIEMENT</w:t>
      </w:r>
    </w:p>
    <w:p w14:paraId="6251D658" w14:textId="50F09446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 xml:space="preserve">• La distribution des champignons se fera à la petite </w:t>
      </w:r>
      <w:r w:rsidR="0091167E">
        <w:rPr>
          <w:sz w:val="22"/>
          <w:szCs w:val="22"/>
        </w:rPr>
        <w:t>H</w:t>
      </w:r>
      <w:r w:rsidRPr="0011742A">
        <w:rPr>
          <w:sz w:val="22"/>
          <w:szCs w:val="22"/>
        </w:rPr>
        <w:t xml:space="preserve">alle de Benet (85490) un mardi par mois de 18h00 à 19h00, sauf les mardis </w:t>
      </w:r>
      <w:r w:rsidR="00615233" w:rsidRPr="0011742A">
        <w:rPr>
          <w:sz w:val="22"/>
          <w:szCs w:val="22"/>
        </w:rPr>
        <w:t>féri</w:t>
      </w:r>
      <w:r w:rsidR="00615233">
        <w:rPr>
          <w:sz w:val="22"/>
          <w:szCs w:val="22"/>
        </w:rPr>
        <w:t>é</w:t>
      </w:r>
      <w:r w:rsidR="00615233" w:rsidRPr="0011742A">
        <w:rPr>
          <w:sz w:val="22"/>
          <w:szCs w:val="22"/>
        </w:rPr>
        <w:t>s</w:t>
      </w:r>
      <w:r w:rsidRPr="0011742A">
        <w:rPr>
          <w:sz w:val="22"/>
          <w:szCs w:val="22"/>
        </w:rPr>
        <w:t xml:space="preserve">, en respectant la </w:t>
      </w:r>
      <w:r w:rsidR="00615233" w:rsidRPr="0011742A">
        <w:rPr>
          <w:sz w:val="22"/>
          <w:szCs w:val="22"/>
        </w:rPr>
        <w:t>période</w:t>
      </w:r>
      <w:r w:rsidRPr="0011742A">
        <w:rPr>
          <w:sz w:val="22"/>
          <w:szCs w:val="22"/>
        </w:rPr>
        <w:t xml:space="preserve"> de distribution.</w:t>
      </w:r>
    </w:p>
    <w:p w14:paraId="4C7CDDD4" w14:textId="2C979E49" w:rsidR="0011742A" w:rsidRPr="0011742A" w:rsidRDefault="0011742A" w:rsidP="0011742A">
      <w:pPr>
        <w:rPr>
          <w:sz w:val="22"/>
          <w:szCs w:val="22"/>
        </w:rPr>
      </w:pPr>
      <w:r w:rsidRPr="0011742A">
        <w:rPr>
          <w:sz w:val="22"/>
          <w:szCs w:val="22"/>
        </w:rPr>
        <w:t>• L'engagement se renouvellera chaque semestre.</w:t>
      </w:r>
    </w:p>
    <w:p w14:paraId="192762AA" w14:textId="7D5855C7" w:rsidR="001718BB" w:rsidRPr="001718BB" w:rsidRDefault="0011742A" w:rsidP="001718BB">
      <w:pPr>
        <w:rPr>
          <w:sz w:val="22"/>
          <w:szCs w:val="22"/>
        </w:rPr>
      </w:pPr>
      <w:r w:rsidRPr="0011742A">
        <w:rPr>
          <w:sz w:val="22"/>
          <w:szCs w:val="22"/>
        </w:rPr>
        <w:t xml:space="preserve">• </w:t>
      </w:r>
      <w:r w:rsidR="001718BB" w:rsidRPr="001718BB">
        <w:rPr>
          <w:sz w:val="22"/>
          <w:szCs w:val="22"/>
        </w:rPr>
        <w:t xml:space="preserve">Le </w:t>
      </w:r>
      <w:r w:rsidR="00615233" w:rsidRPr="001718BB">
        <w:rPr>
          <w:sz w:val="22"/>
          <w:szCs w:val="22"/>
        </w:rPr>
        <w:t>règlement</w:t>
      </w:r>
      <w:r w:rsidR="001718BB" w:rsidRPr="001718BB">
        <w:rPr>
          <w:sz w:val="22"/>
          <w:szCs w:val="22"/>
        </w:rPr>
        <w:t xml:space="preserve"> se fait à la remise du </w:t>
      </w:r>
      <w:r w:rsidR="00615233" w:rsidRPr="001718BB">
        <w:rPr>
          <w:sz w:val="22"/>
          <w:szCs w:val="22"/>
        </w:rPr>
        <w:t>présent</w:t>
      </w:r>
      <w:r w:rsidR="001718BB" w:rsidRPr="001718BB">
        <w:rPr>
          <w:sz w:val="22"/>
          <w:szCs w:val="22"/>
        </w:rPr>
        <w:t xml:space="preserve"> contrat par 1 </w:t>
      </w:r>
      <w:r w:rsidR="0091167E">
        <w:rPr>
          <w:sz w:val="22"/>
          <w:szCs w:val="22"/>
        </w:rPr>
        <w:t xml:space="preserve">ou plusieurs </w:t>
      </w:r>
      <w:r w:rsidR="00615233" w:rsidRPr="001718BB">
        <w:rPr>
          <w:sz w:val="22"/>
          <w:szCs w:val="22"/>
        </w:rPr>
        <w:t>cheque</w:t>
      </w:r>
      <w:r w:rsidR="001718BB" w:rsidRPr="001718BB">
        <w:rPr>
          <w:sz w:val="22"/>
          <w:szCs w:val="22"/>
        </w:rPr>
        <w:t xml:space="preserve">(s) (total ou mensuel) pour la </w:t>
      </w:r>
      <w:r w:rsidR="00615233" w:rsidRPr="001718BB">
        <w:rPr>
          <w:sz w:val="22"/>
          <w:szCs w:val="22"/>
        </w:rPr>
        <w:t>durée</w:t>
      </w:r>
      <w:r w:rsidR="001718BB" w:rsidRPr="001718BB">
        <w:rPr>
          <w:sz w:val="22"/>
          <w:szCs w:val="22"/>
        </w:rPr>
        <w:t xml:space="preserve"> du contrat. </w:t>
      </w:r>
    </w:p>
    <w:p w14:paraId="61CDF9C2" w14:textId="1700D6F9" w:rsidR="0011742A" w:rsidRDefault="0011742A" w:rsidP="0011742A">
      <w:pPr>
        <w:rPr>
          <w:sz w:val="22"/>
          <w:szCs w:val="22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2268"/>
        <w:gridCol w:w="2127"/>
      </w:tblGrid>
      <w:tr w:rsidR="007F2E08" w14:paraId="6F428E46" w14:textId="77777777" w:rsidTr="00615233">
        <w:tc>
          <w:tcPr>
            <w:tcW w:w="2122" w:type="dxa"/>
          </w:tcPr>
          <w:p w14:paraId="701D5308" w14:textId="77777777" w:rsidR="007F2E08" w:rsidRDefault="007F2E08" w:rsidP="0011742A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14:paraId="0F77A892" w14:textId="77777777" w:rsidR="007F2E08" w:rsidRDefault="007F2E08" w:rsidP="00117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Pleurotes</w:t>
            </w:r>
          </w:p>
          <w:p w14:paraId="23D6C468" w14:textId="074330F5" w:rsidR="007F2E08" w:rsidRDefault="001718BB" w:rsidP="00171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68272D">
              <w:rPr>
                <w:sz w:val="22"/>
                <w:szCs w:val="22"/>
              </w:rPr>
              <w:t xml:space="preserve">80 </w:t>
            </w:r>
            <w:r>
              <w:rPr>
                <w:sz w:val="22"/>
                <w:szCs w:val="22"/>
              </w:rPr>
              <w:t>€</w:t>
            </w:r>
            <w:r w:rsidR="00CD6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les 500g</w:t>
            </w:r>
          </w:p>
        </w:tc>
        <w:tc>
          <w:tcPr>
            <w:tcW w:w="4395" w:type="dxa"/>
            <w:gridSpan w:val="2"/>
          </w:tcPr>
          <w:p w14:paraId="2F5FABAF" w14:textId="77777777" w:rsidR="007F2E08" w:rsidRDefault="007F2E08" w:rsidP="00117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Shitaké</w:t>
            </w:r>
          </w:p>
          <w:p w14:paraId="16AF3155" w14:textId="4D2B0A9E" w:rsidR="001718BB" w:rsidRDefault="0068272D" w:rsidP="00682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6,20 € </w:t>
            </w:r>
            <w:r w:rsidR="001718BB">
              <w:rPr>
                <w:sz w:val="22"/>
                <w:szCs w:val="22"/>
              </w:rPr>
              <w:t>les 500g</w:t>
            </w:r>
          </w:p>
        </w:tc>
      </w:tr>
      <w:tr w:rsidR="007F2E08" w14:paraId="52333633" w14:textId="77777777" w:rsidTr="00615233">
        <w:tc>
          <w:tcPr>
            <w:tcW w:w="2122" w:type="dxa"/>
          </w:tcPr>
          <w:p w14:paraId="675902C5" w14:textId="34B70BDC" w:rsidR="007F2E08" w:rsidRDefault="007F2E08" w:rsidP="007F2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de distribution</w:t>
            </w:r>
          </w:p>
        </w:tc>
        <w:tc>
          <w:tcPr>
            <w:tcW w:w="2268" w:type="dxa"/>
          </w:tcPr>
          <w:p w14:paraId="5CCC3CC5" w14:textId="5647C04D" w:rsidR="007F2E08" w:rsidRDefault="007F2E08" w:rsidP="007F2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Quantité en grammes</w:t>
            </w:r>
          </w:p>
        </w:tc>
        <w:tc>
          <w:tcPr>
            <w:tcW w:w="1842" w:type="dxa"/>
          </w:tcPr>
          <w:p w14:paraId="22443F6A" w14:textId="058F804D" w:rsidR="007F2E08" w:rsidRDefault="007F2E08" w:rsidP="007F2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Montant</w:t>
            </w:r>
            <w:r w:rsidR="00615233">
              <w:rPr>
                <w:sz w:val="22"/>
                <w:szCs w:val="22"/>
              </w:rPr>
              <w:t xml:space="preserve"> HT</w:t>
            </w:r>
          </w:p>
        </w:tc>
        <w:tc>
          <w:tcPr>
            <w:tcW w:w="2268" w:type="dxa"/>
          </w:tcPr>
          <w:p w14:paraId="2F4183ED" w14:textId="080E2A41" w:rsidR="007F2E08" w:rsidRDefault="007F2E08" w:rsidP="007F2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Quantité en grammes</w:t>
            </w:r>
          </w:p>
        </w:tc>
        <w:tc>
          <w:tcPr>
            <w:tcW w:w="2127" w:type="dxa"/>
          </w:tcPr>
          <w:p w14:paraId="7F6EDA55" w14:textId="13714F34" w:rsidR="007F2E08" w:rsidRDefault="007F2E08" w:rsidP="007F2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Montant</w:t>
            </w:r>
            <w:r w:rsidR="00615233">
              <w:rPr>
                <w:sz w:val="22"/>
                <w:szCs w:val="22"/>
              </w:rPr>
              <w:t xml:space="preserve"> HT</w:t>
            </w:r>
          </w:p>
        </w:tc>
      </w:tr>
      <w:tr w:rsidR="007F2E08" w14:paraId="48129DFB" w14:textId="77777777" w:rsidTr="00615233">
        <w:tc>
          <w:tcPr>
            <w:tcW w:w="2122" w:type="dxa"/>
          </w:tcPr>
          <w:p w14:paraId="2E4E09E5" w14:textId="3A92F728" w:rsidR="007F2E08" w:rsidRDefault="007F2E08" w:rsidP="007F2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25 février2025</w:t>
            </w:r>
          </w:p>
        </w:tc>
        <w:tc>
          <w:tcPr>
            <w:tcW w:w="2268" w:type="dxa"/>
          </w:tcPr>
          <w:p w14:paraId="02DE52E3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61E86E3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983B0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FADE3E2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</w:tr>
      <w:tr w:rsidR="007F2E08" w14:paraId="4602710F" w14:textId="77777777" w:rsidTr="00615233">
        <w:tc>
          <w:tcPr>
            <w:tcW w:w="2122" w:type="dxa"/>
          </w:tcPr>
          <w:p w14:paraId="30B66ADD" w14:textId="3D901927" w:rsidR="007F2E08" w:rsidRDefault="007F2E08" w:rsidP="007F2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25 mars 2025</w:t>
            </w:r>
          </w:p>
        </w:tc>
        <w:tc>
          <w:tcPr>
            <w:tcW w:w="2268" w:type="dxa"/>
          </w:tcPr>
          <w:p w14:paraId="612E5CAE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AA65920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B5F943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2287AF8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</w:tr>
      <w:tr w:rsidR="007F2E08" w14:paraId="400DF870" w14:textId="77777777" w:rsidTr="00615233">
        <w:tc>
          <w:tcPr>
            <w:tcW w:w="2122" w:type="dxa"/>
          </w:tcPr>
          <w:p w14:paraId="26DDDAFA" w14:textId="0724FF65" w:rsidR="007F2E08" w:rsidRDefault="007F2E08" w:rsidP="007F2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29 avril 2025</w:t>
            </w:r>
          </w:p>
        </w:tc>
        <w:tc>
          <w:tcPr>
            <w:tcW w:w="2268" w:type="dxa"/>
          </w:tcPr>
          <w:p w14:paraId="28266B0F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4E5E7CD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FA9D01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3662108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</w:tr>
      <w:tr w:rsidR="007F2E08" w14:paraId="1E592BC7" w14:textId="77777777" w:rsidTr="00615233">
        <w:tc>
          <w:tcPr>
            <w:tcW w:w="2122" w:type="dxa"/>
          </w:tcPr>
          <w:p w14:paraId="62E5EA7A" w14:textId="34B0C1C3" w:rsidR="007F2E08" w:rsidRDefault="007F2E08" w:rsidP="007F2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27 mai 2025</w:t>
            </w:r>
          </w:p>
        </w:tc>
        <w:tc>
          <w:tcPr>
            <w:tcW w:w="2268" w:type="dxa"/>
          </w:tcPr>
          <w:p w14:paraId="29613BD7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24161B4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4DEB83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550F879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</w:tr>
      <w:tr w:rsidR="007F2E08" w14:paraId="53C07D44" w14:textId="77777777" w:rsidTr="00615233">
        <w:tc>
          <w:tcPr>
            <w:tcW w:w="2122" w:type="dxa"/>
          </w:tcPr>
          <w:p w14:paraId="245C7E28" w14:textId="1CBD1640" w:rsidR="007F2E08" w:rsidRDefault="007F2E08" w:rsidP="007F2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24 juin 2025</w:t>
            </w:r>
          </w:p>
        </w:tc>
        <w:tc>
          <w:tcPr>
            <w:tcW w:w="2268" w:type="dxa"/>
          </w:tcPr>
          <w:p w14:paraId="0B6091C9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2C589EA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488AD5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D02E964" w14:textId="77777777" w:rsidR="007F2E08" w:rsidRDefault="007F2E08" w:rsidP="007F2E08">
            <w:pPr>
              <w:rPr>
                <w:sz w:val="22"/>
                <w:szCs w:val="22"/>
              </w:rPr>
            </w:pPr>
          </w:p>
        </w:tc>
      </w:tr>
      <w:tr w:rsidR="00931A12" w14:paraId="6B20855A" w14:textId="77777777" w:rsidTr="00615233">
        <w:tc>
          <w:tcPr>
            <w:tcW w:w="2122" w:type="dxa"/>
          </w:tcPr>
          <w:p w14:paraId="5452DE5A" w14:textId="3977D235" w:rsidR="00931A12" w:rsidRDefault="00931A12" w:rsidP="007F2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29 juillet 2025</w:t>
            </w:r>
          </w:p>
        </w:tc>
        <w:tc>
          <w:tcPr>
            <w:tcW w:w="2268" w:type="dxa"/>
          </w:tcPr>
          <w:p w14:paraId="0A28FEF0" w14:textId="77777777" w:rsidR="00931A12" w:rsidRDefault="00931A12" w:rsidP="007F2E0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1C8E14D" w14:textId="77777777" w:rsidR="00931A12" w:rsidRDefault="00931A12" w:rsidP="007F2E0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7835F0" w14:textId="77777777" w:rsidR="00931A12" w:rsidRDefault="00931A12" w:rsidP="007F2E0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8BA38C5" w14:textId="77777777" w:rsidR="00931A12" w:rsidRDefault="00931A12" w:rsidP="007F2E08">
            <w:pPr>
              <w:rPr>
                <w:sz w:val="22"/>
                <w:szCs w:val="22"/>
              </w:rPr>
            </w:pPr>
          </w:p>
        </w:tc>
      </w:tr>
    </w:tbl>
    <w:p w14:paraId="4959FCD9" w14:textId="77777777" w:rsidR="00931A12" w:rsidRDefault="00931A12" w:rsidP="0011742A">
      <w:pPr>
        <w:rPr>
          <w:sz w:val="22"/>
          <w:szCs w:val="22"/>
        </w:rPr>
      </w:pPr>
    </w:p>
    <w:p w14:paraId="441A19B2" w14:textId="7F97D561" w:rsidR="00931A12" w:rsidRDefault="00931A12" w:rsidP="0011742A">
      <w:pPr>
        <w:rPr>
          <w:sz w:val="22"/>
          <w:szCs w:val="22"/>
        </w:rPr>
      </w:pPr>
      <w:r>
        <w:rPr>
          <w:sz w:val="22"/>
          <w:szCs w:val="22"/>
        </w:rPr>
        <w:t>A Benet, le ……………….</w:t>
      </w:r>
    </w:p>
    <w:p w14:paraId="24009C29" w14:textId="0FE8185A" w:rsidR="00931A12" w:rsidRPr="0011742A" w:rsidRDefault="00931A12" w:rsidP="0011742A">
      <w:pPr>
        <w:rPr>
          <w:sz w:val="22"/>
          <w:szCs w:val="22"/>
        </w:rPr>
      </w:pPr>
      <w:r>
        <w:rPr>
          <w:sz w:val="22"/>
          <w:szCs w:val="22"/>
        </w:rPr>
        <w:t>Signature de l’amapien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du producteur</w:t>
      </w:r>
    </w:p>
    <w:sectPr w:rsidR="00931A12" w:rsidRPr="0011742A" w:rsidSect="00CD6B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0915"/>
    <w:multiLevelType w:val="multilevel"/>
    <w:tmpl w:val="3C0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101610"/>
    <w:multiLevelType w:val="multilevel"/>
    <w:tmpl w:val="1F8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9B112F"/>
    <w:multiLevelType w:val="multilevel"/>
    <w:tmpl w:val="C352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2C7646"/>
    <w:multiLevelType w:val="multilevel"/>
    <w:tmpl w:val="5C20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8521325">
    <w:abstractNumId w:val="3"/>
  </w:num>
  <w:num w:numId="2" w16cid:durableId="1609921645">
    <w:abstractNumId w:val="2"/>
  </w:num>
  <w:num w:numId="3" w16cid:durableId="1536968500">
    <w:abstractNumId w:val="1"/>
  </w:num>
  <w:num w:numId="4" w16cid:durableId="27368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2A"/>
    <w:rsid w:val="0011742A"/>
    <w:rsid w:val="00143DCE"/>
    <w:rsid w:val="001718BB"/>
    <w:rsid w:val="00240471"/>
    <w:rsid w:val="002D308B"/>
    <w:rsid w:val="00615233"/>
    <w:rsid w:val="0068272D"/>
    <w:rsid w:val="007F2E08"/>
    <w:rsid w:val="00817054"/>
    <w:rsid w:val="0091167E"/>
    <w:rsid w:val="00931A12"/>
    <w:rsid w:val="009A1CC7"/>
    <w:rsid w:val="009F6ACF"/>
    <w:rsid w:val="00CA099F"/>
    <w:rsid w:val="00CD6B5A"/>
    <w:rsid w:val="00D467F6"/>
    <w:rsid w:val="00EA42B3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AD4B"/>
  <w15:chartTrackingRefBased/>
  <w15:docId w15:val="{0F96C69E-3FF8-FC4B-A437-E74E0E9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18B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3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 Sophie</dc:creator>
  <cp:keywords/>
  <dc:description/>
  <cp:lastModifiedBy>Guillaume guerin</cp:lastModifiedBy>
  <cp:revision>2</cp:revision>
  <dcterms:created xsi:type="dcterms:W3CDTF">2025-02-16T17:42:00Z</dcterms:created>
  <dcterms:modified xsi:type="dcterms:W3CDTF">2025-02-16T17:42:00Z</dcterms:modified>
</cp:coreProperties>
</file>